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98" w:type="dxa"/>
        <w:tblCellSpacing w:w="7" w:type="dxa"/>
        <w:tblInd w:w="-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5"/>
        <w:gridCol w:w="1701"/>
        <w:gridCol w:w="5103"/>
        <w:gridCol w:w="6379"/>
      </w:tblGrid>
      <w:tr w:rsidR="00235CFC" w:rsidRPr="00902186" w14:paraId="0A1E3DC8" w14:textId="77777777" w:rsidTr="0061551B">
        <w:trPr>
          <w:tblCellSpacing w:w="7" w:type="dxa"/>
        </w:trPr>
        <w:tc>
          <w:tcPr>
            <w:tcW w:w="14570" w:type="dxa"/>
            <w:gridSpan w:val="4"/>
            <w:tcBorders>
              <w:top w:val="outset" w:sz="6" w:space="0" w:color="auto"/>
              <w:left w:val="outset" w:sz="6" w:space="0" w:color="auto"/>
              <w:bottom w:val="outset" w:sz="6" w:space="0" w:color="auto"/>
              <w:right w:val="outset" w:sz="6" w:space="0" w:color="auto"/>
            </w:tcBorders>
          </w:tcPr>
          <w:p w14:paraId="6B17C645" w14:textId="623AC1C2" w:rsidR="00235CFC" w:rsidRPr="00235CFC" w:rsidRDefault="00235CFC" w:rsidP="00F927B7">
            <w:pPr>
              <w:spacing w:after="200"/>
              <w:rPr>
                <w:rFonts w:cs="Tahoma"/>
                <w:b/>
                <w:bCs/>
                <w:sz w:val="22"/>
                <w:szCs w:val="22"/>
              </w:rPr>
            </w:pPr>
            <w:r w:rsidRPr="00235CFC">
              <w:rPr>
                <w:rFonts w:cs="Tahoma"/>
                <w:b/>
                <w:bCs/>
                <w:sz w:val="22"/>
                <w:szCs w:val="22"/>
              </w:rPr>
              <w:t xml:space="preserve">Portefeuilleverdeling RvC leden per </w:t>
            </w:r>
            <w:r w:rsidR="00051531">
              <w:rPr>
                <w:rFonts w:cs="Tahoma"/>
                <w:b/>
                <w:bCs/>
                <w:sz w:val="22"/>
                <w:szCs w:val="22"/>
              </w:rPr>
              <w:t>1-1-202</w:t>
            </w:r>
            <w:r w:rsidR="00AF0805">
              <w:rPr>
                <w:rFonts w:cs="Tahoma"/>
                <w:b/>
                <w:bCs/>
                <w:sz w:val="22"/>
                <w:szCs w:val="22"/>
              </w:rPr>
              <w:t>5</w:t>
            </w:r>
            <w:r w:rsidRPr="00235CFC">
              <w:rPr>
                <w:rFonts w:cs="Tahoma"/>
                <w:b/>
                <w:bCs/>
                <w:sz w:val="22"/>
                <w:szCs w:val="22"/>
              </w:rPr>
              <w:t xml:space="preserve"> </w:t>
            </w:r>
          </w:p>
        </w:tc>
      </w:tr>
      <w:tr w:rsidR="0061551B" w:rsidRPr="000232E2" w14:paraId="0E6BFC91" w14:textId="77777777" w:rsidTr="000232E2">
        <w:tblPrEx>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PrEx>
        <w:trPr>
          <w:trHeight w:val="401"/>
          <w:tblHeader/>
          <w:tblCellSpacing w:w="7" w:type="dxa"/>
        </w:trPr>
        <w:tc>
          <w:tcPr>
            <w:tcW w:w="1394" w:type="dxa"/>
            <w:hideMark/>
          </w:tcPr>
          <w:p w14:paraId="5570DA72" w14:textId="77777777" w:rsidR="0061551B" w:rsidRPr="000232E2" w:rsidRDefault="0061551B" w:rsidP="000232E2">
            <w:pPr>
              <w:rPr>
                <w:b/>
                <w:bCs/>
              </w:rPr>
            </w:pPr>
            <w:bookmarkStart w:id="0" w:name="_Hlk61274988"/>
            <w:r w:rsidRPr="000232E2">
              <w:rPr>
                <w:b/>
                <w:bCs/>
              </w:rPr>
              <w:t>Naam</w:t>
            </w:r>
          </w:p>
        </w:tc>
        <w:tc>
          <w:tcPr>
            <w:tcW w:w="1687" w:type="dxa"/>
            <w:hideMark/>
          </w:tcPr>
          <w:p w14:paraId="65791C4E" w14:textId="77777777" w:rsidR="0061551B" w:rsidRPr="000232E2" w:rsidRDefault="0061551B" w:rsidP="000232E2">
            <w:pPr>
              <w:rPr>
                <w:b/>
                <w:bCs/>
              </w:rPr>
            </w:pPr>
            <w:r w:rsidRPr="000232E2">
              <w:rPr>
                <w:b/>
                <w:bCs/>
              </w:rPr>
              <w:t>Beroep</w:t>
            </w:r>
          </w:p>
        </w:tc>
        <w:tc>
          <w:tcPr>
            <w:tcW w:w="5089" w:type="dxa"/>
            <w:hideMark/>
          </w:tcPr>
          <w:p w14:paraId="723FD4D1" w14:textId="64757D78" w:rsidR="0061551B" w:rsidRPr="000232E2" w:rsidRDefault="0061551B" w:rsidP="000232E2">
            <w:pPr>
              <w:rPr>
                <w:b/>
                <w:bCs/>
              </w:rPr>
            </w:pPr>
            <w:r w:rsidRPr="000232E2">
              <w:rPr>
                <w:b/>
                <w:bCs/>
              </w:rPr>
              <w:t xml:space="preserve">Relevante nevenfuncties </w:t>
            </w:r>
          </w:p>
        </w:tc>
        <w:tc>
          <w:tcPr>
            <w:tcW w:w="6358" w:type="dxa"/>
            <w:hideMark/>
          </w:tcPr>
          <w:p w14:paraId="15D45921" w14:textId="77777777" w:rsidR="0061551B" w:rsidRPr="000232E2" w:rsidRDefault="0061551B" w:rsidP="000232E2">
            <w:pPr>
              <w:rPr>
                <w:b/>
                <w:bCs/>
              </w:rPr>
            </w:pPr>
            <w:r w:rsidRPr="000232E2">
              <w:rPr>
                <w:b/>
                <w:bCs/>
              </w:rPr>
              <w:t>Expertise/porte</w:t>
            </w:r>
            <w:r w:rsidRPr="000232E2">
              <w:rPr>
                <w:b/>
                <w:bCs/>
              </w:rPr>
              <w:softHyphen/>
              <w:t>feuille</w:t>
            </w:r>
          </w:p>
        </w:tc>
      </w:tr>
      <w:tr w:rsidR="0061551B" w:rsidRPr="0085168F" w14:paraId="43DEAE79" w14:textId="77777777" w:rsidTr="000232E2">
        <w:tblPrEx>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PrEx>
        <w:trPr>
          <w:tblCellSpacing w:w="7" w:type="dxa"/>
        </w:trPr>
        <w:tc>
          <w:tcPr>
            <w:tcW w:w="1394" w:type="dxa"/>
          </w:tcPr>
          <w:p w14:paraId="5FC4F548" w14:textId="77777777" w:rsidR="0061551B" w:rsidRPr="0055651E" w:rsidRDefault="0061551B" w:rsidP="00AC5590">
            <w:pPr>
              <w:spacing w:after="200"/>
              <w:rPr>
                <w:rFonts w:cs="Tahoma"/>
                <w:szCs w:val="18"/>
                <w:lang w:val="en-GB"/>
              </w:rPr>
            </w:pPr>
            <w:r>
              <w:rPr>
                <w:rFonts w:cs="Tahoma"/>
                <w:szCs w:val="18"/>
              </w:rPr>
              <w:t>Dhr. G.B.J. Raanhuis</w:t>
            </w:r>
          </w:p>
        </w:tc>
        <w:tc>
          <w:tcPr>
            <w:tcW w:w="1687" w:type="dxa"/>
          </w:tcPr>
          <w:p w14:paraId="5A63DD9A" w14:textId="1308BB59" w:rsidR="0061551B" w:rsidRPr="00D3426D" w:rsidRDefault="0061551B" w:rsidP="000232E2">
            <w:pPr>
              <w:rPr>
                <w:rFonts w:cs="Tahoma"/>
                <w:szCs w:val="18"/>
              </w:rPr>
            </w:pPr>
            <w:r>
              <w:t>Directeur-eigenaar van Organisatie- en Adviesbureau Gumale</w:t>
            </w:r>
            <w:r w:rsidR="00AF0805">
              <w:t xml:space="preserve"> </w:t>
            </w:r>
          </w:p>
        </w:tc>
        <w:tc>
          <w:tcPr>
            <w:tcW w:w="5089" w:type="dxa"/>
          </w:tcPr>
          <w:p w14:paraId="4439392F" w14:textId="3B1EC57E" w:rsidR="0061551B" w:rsidRPr="003D0283" w:rsidRDefault="00EA270E" w:rsidP="0061551B">
            <w:pPr>
              <w:pStyle w:val="Lijstalinea"/>
              <w:numPr>
                <w:ilvl w:val="0"/>
                <w:numId w:val="19"/>
              </w:numPr>
              <w:rPr>
                <w:rFonts w:ascii="Calibri" w:hAnsi="Calibri"/>
                <w:sz w:val="22"/>
                <w:szCs w:val="22"/>
              </w:rPr>
            </w:pPr>
            <w:r>
              <w:t>Vice-v</w:t>
            </w:r>
            <w:r w:rsidR="0061551B">
              <w:t xml:space="preserve">oorzitter Raad van Toezicht Stichting OSG </w:t>
            </w:r>
            <w:r w:rsidR="005F40EF">
              <w:t>Twente*</w:t>
            </w:r>
          </w:p>
          <w:p w14:paraId="62538A8D" w14:textId="77777777" w:rsidR="0061551B" w:rsidRDefault="0061551B" w:rsidP="0061551B">
            <w:pPr>
              <w:pStyle w:val="Lijstalinea"/>
              <w:numPr>
                <w:ilvl w:val="0"/>
                <w:numId w:val="19"/>
              </w:numPr>
            </w:pPr>
            <w:r>
              <w:t>Voorzitter Raad van Toezicht Stichting OYFO kunst &amp; techniek</w:t>
            </w:r>
          </w:p>
          <w:p w14:paraId="39F73231" w14:textId="77777777" w:rsidR="0061551B" w:rsidRDefault="0061551B" w:rsidP="0061551B">
            <w:pPr>
              <w:pStyle w:val="Lijstalinea"/>
              <w:numPr>
                <w:ilvl w:val="0"/>
                <w:numId w:val="19"/>
              </w:numPr>
            </w:pPr>
            <w:r>
              <w:t>Vice voorzitter Stichting WensAmbulance Oost-Nederland</w:t>
            </w:r>
          </w:p>
          <w:p w14:paraId="56F1B6D1" w14:textId="715013FD" w:rsidR="0061551B" w:rsidRPr="00D3426D" w:rsidRDefault="0061551B" w:rsidP="00290BF8">
            <w:pPr>
              <w:pStyle w:val="Lijstalinea"/>
              <w:ind w:left="360"/>
              <w:rPr>
                <w:rFonts w:cs="Tahoma"/>
                <w:bCs/>
                <w:szCs w:val="18"/>
              </w:rPr>
            </w:pPr>
          </w:p>
        </w:tc>
        <w:tc>
          <w:tcPr>
            <w:tcW w:w="6358" w:type="dxa"/>
          </w:tcPr>
          <w:p w14:paraId="11FF5070" w14:textId="61E4E027" w:rsidR="0061551B" w:rsidRDefault="0061551B" w:rsidP="00AC5590">
            <w:pPr>
              <w:spacing w:after="200"/>
              <w:rPr>
                <w:rFonts w:cs="Tahoma"/>
                <w:szCs w:val="18"/>
              </w:rPr>
            </w:pPr>
            <w:r>
              <w:rPr>
                <w:rFonts w:cs="Tahoma"/>
                <w:szCs w:val="18"/>
              </w:rPr>
              <w:t>Volkshuisvesting, governance, vastgoed, financiën en controle, welzijn, ICT, maatschappij, sociaal domein,  politiek, maatschappelijk ondernemerschap, bedrijfs- en organisatiekunde, HRM</w:t>
            </w:r>
            <w:r w:rsidR="00254F78">
              <w:rPr>
                <w:rFonts w:cs="Tahoma"/>
                <w:szCs w:val="18"/>
              </w:rPr>
              <w:t xml:space="preserve"> </w:t>
            </w:r>
            <w:r>
              <w:rPr>
                <w:rFonts w:cs="Tahoma"/>
                <w:szCs w:val="18"/>
              </w:rPr>
              <w:t>&amp; organisatieontwikkeling, regionale binding, samenleving</w:t>
            </w:r>
          </w:p>
          <w:p w14:paraId="4DB8C8ED" w14:textId="60F04A46" w:rsidR="00254F78" w:rsidRDefault="00254F78" w:rsidP="00AC5590">
            <w:pPr>
              <w:rPr>
                <w:i/>
                <w:iCs/>
              </w:rPr>
            </w:pPr>
            <w:r>
              <w:rPr>
                <w:i/>
                <w:iCs/>
              </w:rPr>
              <w:t>voorzitter RvC</w:t>
            </w:r>
          </w:p>
          <w:p w14:paraId="0ABD8A5E" w14:textId="17A6DC49" w:rsidR="0061551B" w:rsidRPr="00C24DBF" w:rsidRDefault="00254F78" w:rsidP="00AC5590">
            <w:pPr>
              <w:rPr>
                <w:i/>
                <w:iCs/>
              </w:rPr>
            </w:pPr>
            <w:r>
              <w:rPr>
                <w:i/>
                <w:iCs/>
              </w:rPr>
              <w:t xml:space="preserve">lid </w:t>
            </w:r>
            <w:r w:rsidR="0061551B">
              <w:rPr>
                <w:i/>
                <w:iCs/>
              </w:rPr>
              <w:t>remuneratiecommissie</w:t>
            </w:r>
          </w:p>
          <w:p w14:paraId="2471FC09" w14:textId="77777777" w:rsidR="0061551B" w:rsidRPr="00D3426D" w:rsidRDefault="0061551B" w:rsidP="00AC5590">
            <w:pPr>
              <w:spacing w:after="200"/>
              <w:rPr>
                <w:rFonts w:cs="Tahoma"/>
                <w:szCs w:val="18"/>
              </w:rPr>
            </w:pPr>
            <w:r w:rsidRPr="00C24DBF">
              <w:rPr>
                <w:i/>
                <w:iCs/>
              </w:rPr>
              <w:t>huurdercommissaris</w:t>
            </w:r>
          </w:p>
        </w:tc>
      </w:tr>
      <w:tr w:rsidR="0061551B" w:rsidRPr="0085168F" w14:paraId="2567CFB1" w14:textId="77777777" w:rsidTr="000232E2">
        <w:tblPrEx>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CellMar>
            <w:top w:w="0" w:type="dxa"/>
            <w:left w:w="0" w:type="dxa"/>
            <w:bottom w:w="0" w:type="dxa"/>
            <w:right w:w="0" w:type="dxa"/>
          </w:tblCellMar>
        </w:tblPrEx>
        <w:trPr>
          <w:tblCellSpacing w:w="7" w:type="dxa"/>
        </w:trPr>
        <w:tc>
          <w:tcPr>
            <w:tcW w:w="1394" w:type="dxa"/>
            <w:tcMar>
              <w:top w:w="15" w:type="dxa"/>
              <w:left w:w="15" w:type="dxa"/>
              <w:bottom w:w="15" w:type="dxa"/>
              <w:right w:w="15" w:type="dxa"/>
            </w:tcMar>
          </w:tcPr>
          <w:p w14:paraId="50D8438E" w14:textId="77777777" w:rsidR="0061551B" w:rsidRPr="00651F16" w:rsidRDefault="0061551B" w:rsidP="00AC5590">
            <w:pPr>
              <w:spacing w:after="200"/>
              <w:rPr>
                <w:rFonts w:cs="Tahoma"/>
                <w:szCs w:val="18"/>
                <w:lang w:eastAsia="en-US"/>
              </w:rPr>
            </w:pPr>
            <w:r w:rsidRPr="00475525">
              <w:rPr>
                <w:rFonts w:cs="Tahoma"/>
                <w:szCs w:val="18"/>
              </w:rPr>
              <w:t xml:space="preserve">Mw. R.E.G.J. </w:t>
            </w:r>
            <w:r>
              <w:rPr>
                <w:rFonts w:cs="Tahoma"/>
                <w:szCs w:val="18"/>
              </w:rPr>
              <w:br/>
            </w:r>
            <w:r w:rsidRPr="00475525">
              <w:rPr>
                <w:rFonts w:cs="Tahoma"/>
                <w:szCs w:val="18"/>
              </w:rPr>
              <w:t>Ampting-Wichman</w:t>
            </w:r>
          </w:p>
        </w:tc>
        <w:tc>
          <w:tcPr>
            <w:tcW w:w="1687" w:type="dxa"/>
            <w:tcMar>
              <w:top w:w="15" w:type="dxa"/>
              <w:left w:w="15" w:type="dxa"/>
              <w:bottom w:w="15" w:type="dxa"/>
              <w:right w:w="15" w:type="dxa"/>
            </w:tcMar>
          </w:tcPr>
          <w:p w14:paraId="13A47222" w14:textId="77777777" w:rsidR="0061551B" w:rsidRPr="00651F16" w:rsidRDefault="0061551B" w:rsidP="00AC5590">
            <w:pPr>
              <w:spacing w:after="200"/>
              <w:rPr>
                <w:rFonts w:cs="Tahoma"/>
                <w:szCs w:val="18"/>
                <w:lang w:eastAsia="en-US"/>
              </w:rPr>
            </w:pPr>
            <w:r w:rsidRPr="00475525">
              <w:rPr>
                <w:rFonts w:cs="Tahoma"/>
                <w:szCs w:val="18"/>
              </w:rPr>
              <w:t xml:space="preserve">directeur </w:t>
            </w:r>
            <w:r>
              <w:rPr>
                <w:rFonts w:cs="Tahoma"/>
                <w:szCs w:val="18"/>
              </w:rPr>
              <w:t>bij</w:t>
            </w:r>
            <w:r w:rsidRPr="00475525">
              <w:rPr>
                <w:rFonts w:cs="Tahoma"/>
                <w:szCs w:val="18"/>
              </w:rPr>
              <w:t xml:space="preserve"> Waterschap Rijn en IJssel</w:t>
            </w:r>
          </w:p>
        </w:tc>
        <w:tc>
          <w:tcPr>
            <w:tcW w:w="5089" w:type="dxa"/>
            <w:tcMar>
              <w:top w:w="15" w:type="dxa"/>
              <w:left w:w="15" w:type="dxa"/>
              <w:bottom w:w="15" w:type="dxa"/>
              <w:right w:w="15" w:type="dxa"/>
            </w:tcMar>
          </w:tcPr>
          <w:p w14:paraId="26BB4A22" w14:textId="77777777" w:rsidR="0061551B" w:rsidRPr="00651F16" w:rsidRDefault="0061551B" w:rsidP="00AC5590">
            <w:pPr>
              <w:spacing w:after="200"/>
              <w:contextualSpacing/>
              <w:rPr>
                <w:rFonts w:cs="Tahoma"/>
                <w:szCs w:val="18"/>
                <w:lang w:eastAsia="en-US"/>
              </w:rPr>
            </w:pPr>
            <w:r>
              <w:rPr>
                <w:rFonts w:cs="Tahoma"/>
                <w:bCs/>
                <w:color w:val="000000"/>
                <w:szCs w:val="18"/>
              </w:rPr>
              <w:t>Niet van toepassing</w:t>
            </w:r>
          </w:p>
        </w:tc>
        <w:tc>
          <w:tcPr>
            <w:tcW w:w="6358" w:type="dxa"/>
            <w:tcMar>
              <w:top w:w="15" w:type="dxa"/>
              <w:left w:w="15" w:type="dxa"/>
              <w:bottom w:w="15" w:type="dxa"/>
              <w:right w:w="15" w:type="dxa"/>
            </w:tcMar>
          </w:tcPr>
          <w:p w14:paraId="7A17D4A3" w14:textId="77777777" w:rsidR="0061551B" w:rsidRDefault="0061551B" w:rsidP="000232E2">
            <w:r>
              <w:t xml:space="preserve">Vastgoed, financiën en controle, zorg, welzijn, ICT, maatschappij, sociaal domein, openbaar bestuur, HRM&amp; organisatieontwikkeling, leefbaarheid, wijkontwikkeling, </w:t>
            </w:r>
          </w:p>
          <w:p w14:paraId="5E197F3A" w14:textId="77777777" w:rsidR="000232E2" w:rsidRDefault="000232E2" w:rsidP="000232E2">
            <w:pPr>
              <w:rPr>
                <w:i/>
                <w:iCs/>
              </w:rPr>
            </w:pPr>
          </w:p>
          <w:p w14:paraId="5FC4A249" w14:textId="426765F8" w:rsidR="0061551B" w:rsidRDefault="00254F78" w:rsidP="000232E2">
            <w:pPr>
              <w:rPr>
                <w:i/>
                <w:iCs/>
              </w:rPr>
            </w:pPr>
            <w:r w:rsidRPr="000232E2">
              <w:rPr>
                <w:i/>
                <w:iCs/>
              </w:rPr>
              <w:t>vice-voorzitter RvC</w:t>
            </w:r>
            <w:r w:rsidR="000232E2">
              <w:rPr>
                <w:i/>
                <w:iCs/>
              </w:rPr>
              <w:t xml:space="preserve">, </w:t>
            </w:r>
            <w:r w:rsidR="0061551B" w:rsidRPr="000232E2">
              <w:rPr>
                <w:i/>
                <w:iCs/>
              </w:rPr>
              <w:t>voorzitter auditcommissie</w:t>
            </w:r>
          </w:p>
          <w:p w14:paraId="7F456CB1" w14:textId="5130FF72" w:rsidR="000232E2" w:rsidRPr="00651F16" w:rsidRDefault="000232E2" w:rsidP="000232E2">
            <w:pPr>
              <w:rPr>
                <w:lang w:eastAsia="en-US"/>
              </w:rPr>
            </w:pPr>
          </w:p>
        </w:tc>
      </w:tr>
      <w:tr w:rsidR="0061551B" w:rsidRPr="0085168F" w14:paraId="0331E274" w14:textId="77777777" w:rsidTr="000232E2">
        <w:tblPrEx>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PrEx>
        <w:trPr>
          <w:tblCellSpacing w:w="7" w:type="dxa"/>
        </w:trPr>
        <w:tc>
          <w:tcPr>
            <w:tcW w:w="1394" w:type="dxa"/>
          </w:tcPr>
          <w:p w14:paraId="1A9789DA" w14:textId="77777777" w:rsidR="0061551B" w:rsidRPr="00D3426D" w:rsidRDefault="0061551B" w:rsidP="00AC5590">
            <w:pPr>
              <w:spacing w:after="200"/>
              <w:rPr>
                <w:rFonts w:cs="Tahoma"/>
                <w:szCs w:val="18"/>
              </w:rPr>
            </w:pPr>
            <w:r>
              <w:rPr>
                <w:rFonts w:cs="Tahoma"/>
                <w:szCs w:val="18"/>
              </w:rPr>
              <w:t>Mevr. I.J.T. Reijmer</w:t>
            </w:r>
          </w:p>
        </w:tc>
        <w:tc>
          <w:tcPr>
            <w:tcW w:w="1687" w:type="dxa"/>
          </w:tcPr>
          <w:p w14:paraId="30395DB3" w14:textId="27F9B58B" w:rsidR="0061551B" w:rsidRPr="00D3426D" w:rsidRDefault="008C1189" w:rsidP="000232E2">
            <w:pPr>
              <w:spacing w:after="200"/>
              <w:rPr>
                <w:rFonts w:cs="Tahoma"/>
                <w:szCs w:val="18"/>
              </w:rPr>
            </w:pPr>
            <w:r>
              <w:rPr>
                <w:rFonts w:cs="Tahoma"/>
                <w:szCs w:val="18"/>
              </w:rPr>
              <w:t>Co-founder Bureau PI</w:t>
            </w:r>
          </w:p>
        </w:tc>
        <w:tc>
          <w:tcPr>
            <w:tcW w:w="5089" w:type="dxa"/>
          </w:tcPr>
          <w:p w14:paraId="69B4DD2E" w14:textId="23FBE85C" w:rsidR="008C1189" w:rsidRPr="001A6E1A" w:rsidRDefault="00D56199" w:rsidP="00AC5590">
            <w:pPr>
              <w:pStyle w:val="Lijstalinea"/>
              <w:numPr>
                <w:ilvl w:val="0"/>
                <w:numId w:val="20"/>
              </w:numPr>
              <w:rPr>
                <w:rFonts w:cs="Tahoma"/>
                <w:bCs/>
                <w:color w:val="000000"/>
                <w:szCs w:val="18"/>
              </w:rPr>
            </w:pPr>
            <w:r>
              <w:rPr>
                <w:rFonts w:cs="Tahoma"/>
                <w:bCs/>
                <w:color w:val="000000"/>
                <w:szCs w:val="18"/>
              </w:rPr>
              <w:t>Voorzitter</w:t>
            </w:r>
            <w:r w:rsidR="008C1189">
              <w:rPr>
                <w:rFonts w:cs="Tahoma"/>
                <w:bCs/>
                <w:color w:val="000000"/>
                <w:szCs w:val="18"/>
              </w:rPr>
              <w:t xml:space="preserve"> Raad van Commissarissen Samenwerking Glasverzekering</w:t>
            </w:r>
          </w:p>
          <w:p w14:paraId="3DEEA02F" w14:textId="77777777" w:rsidR="0061551B" w:rsidRPr="00AF0805" w:rsidRDefault="0061551B" w:rsidP="000232E2">
            <w:pPr>
              <w:pStyle w:val="Lijstalinea"/>
              <w:numPr>
                <w:ilvl w:val="0"/>
                <w:numId w:val="20"/>
              </w:numPr>
              <w:rPr>
                <w:rFonts w:cs="Tahoma"/>
                <w:szCs w:val="18"/>
              </w:rPr>
            </w:pPr>
            <w:r w:rsidRPr="001A6E1A">
              <w:rPr>
                <w:rFonts w:cs="Tahoma"/>
                <w:bCs/>
                <w:color w:val="000000"/>
                <w:szCs w:val="18"/>
              </w:rPr>
              <w:t xml:space="preserve">Bestuurslid </w:t>
            </w:r>
            <w:r w:rsidR="00D56199">
              <w:rPr>
                <w:rFonts w:cs="Tahoma"/>
                <w:bCs/>
                <w:color w:val="000000"/>
                <w:szCs w:val="18"/>
              </w:rPr>
              <w:t>Future of Twente</w:t>
            </w:r>
          </w:p>
          <w:p w14:paraId="6FD493C1" w14:textId="70A2E7CD" w:rsidR="00AF0805" w:rsidRPr="00D3426D" w:rsidRDefault="00AF0805" w:rsidP="000232E2">
            <w:pPr>
              <w:pStyle w:val="Lijstalinea"/>
              <w:numPr>
                <w:ilvl w:val="0"/>
                <w:numId w:val="20"/>
              </w:numPr>
              <w:rPr>
                <w:rFonts w:cs="Tahoma"/>
                <w:szCs w:val="18"/>
              </w:rPr>
            </w:pPr>
            <w:r>
              <w:rPr>
                <w:rFonts w:cs="Tahoma"/>
                <w:bCs/>
                <w:color w:val="000000"/>
                <w:szCs w:val="18"/>
              </w:rPr>
              <w:t>Lid Raad van Commissarissen Twente Milieu</w:t>
            </w:r>
          </w:p>
        </w:tc>
        <w:tc>
          <w:tcPr>
            <w:tcW w:w="6358" w:type="dxa"/>
          </w:tcPr>
          <w:p w14:paraId="493558A3" w14:textId="77777777" w:rsidR="0061551B" w:rsidRDefault="0061551B" w:rsidP="000232E2">
            <w:r>
              <w:t>Volkshuisvesting, zorg, maatschappij, sociaal domein, duurzaamheid, maatschappelijk ondernemerschap, HRM&amp; organisatieontwikkeling, regionale binding, samenleving</w:t>
            </w:r>
          </w:p>
          <w:p w14:paraId="3E6D10E6" w14:textId="77777777" w:rsidR="000232E2" w:rsidRDefault="000232E2" w:rsidP="000232E2">
            <w:pPr>
              <w:rPr>
                <w:i/>
                <w:iCs/>
              </w:rPr>
            </w:pPr>
          </w:p>
          <w:p w14:paraId="3980E383" w14:textId="13BFC173" w:rsidR="0061551B" w:rsidRDefault="00FC0DEC" w:rsidP="000232E2">
            <w:pPr>
              <w:rPr>
                <w:i/>
                <w:iCs/>
              </w:rPr>
            </w:pPr>
            <w:r>
              <w:rPr>
                <w:i/>
                <w:iCs/>
              </w:rPr>
              <w:t>v</w:t>
            </w:r>
            <w:r w:rsidR="0061551B" w:rsidRPr="0061551B">
              <w:rPr>
                <w:i/>
                <w:iCs/>
              </w:rPr>
              <w:t>oorzitter remuneratiecommissie</w:t>
            </w:r>
          </w:p>
          <w:p w14:paraId="1E963311" w14:textId="1592BD9D" w:rsidR="000232E2" w:rsidRPr="0061551B" w:rsidRDefault="000232E2" w:rsidP="000232E2">
            <w:pPr>
              <w:rPr>
                <w:i/>
                <w:iCs/>
              </w:rPr>
            </w:pPr>
          </w:p>
        </w:tc>
      </w:tr>
      <w:tr w:rsidR="0061551B" w:rsidRPr="0085168F" w14:paraId="5A4ABE98" w14:textId="77777777" w:rsidTr="000232E2">
        <w:tblPrEx>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PrEx>
        <w:trPr>
          <w:tblCellSpacing w:w="7" w:type="dxa"/>
        </w:trPr>
        <w:tc>
          <w:tcPr>
            <w:tcW w:w="1394" w:type="dxa"/>
          </w:tcPr>
          <w:p w14:paraId="2BC9365D" w14:textId="77777777" w:rsidR="0061551B" w:rsidRDefault="0061551B" w:rsidP="00AC5590">
            <w:pPr>
              <w:spacing w:after="200"/>
              <w:rPr>
                <w:rFonts w:cs="Tahoma"/>
                <w:szCs w:val="18"/>
              </w:rPr>
            </w:pPr>
            <w:r>
              <w:rPr>
                <w:rFonts w:cs="Tahoma"/>
                <w:szCs w:val="18"/>
              </w:rPr>
              <w:t>De heer E. Nijhoff</w:t>
            </w:r>
          </w:p>
        </w:tc>
        <w:tc>
          <w:tcPr>
            <w:tcW w:w="1687" w:type="dxa"/>
          </w:tcPr>
          <w:p w14:paraId="6137466E" w14:textId="77777777" w:rsidR="0061551B" w:rsidRPr="002A4F6E" w:rsidRDefault="0061551B" w:rsidP="00AC5590">
            <w:pPr>
              <w:spacing w:after="200"/>
              <w:rPr>
                <w:rFonts w:cs="Tahoma"/>
                <w:szCs w:val="18"/>
              </w:rPr>
            </w:pPr>
            <w:r>
              <w:rPr>
                <w:rFonts w:cs="Tahoma"/>
                <w:szCs w:val="18"/>
              </w:rPr>
              <w:t>Advocaat/Partner Spoor &amp; Hoekman Advocaten</w:t>
            </w:r>
          </w:p>
        </w:tc>
        <w:tc>
          <w:tcPr>
            <w:tcW w:w="5089" w:type="dxa"/>
          </w:tcPr>
          <w:p w14:paraId="2095E718" w14:textId="268B492B" w:rsidR="0061551B" w:rsidRPr="001A6E1A" w:rsidRDefault="0061551B" w:rsidP="00AC5590">
            <w:pPr>
              <w:pStyle w:val="Lijstalinea"/>
              <w:numPr>
                <w:ilvl w:val="0"/>
                <w:numId w:val="21"/>
              </w:numPr>
              <w:rPr>
                <w:rFonts w:cs="Tahoma"/>
                <w:bCs/>
                <w:color w:val="000000"/>
                <w:szCs w:val="18"/>
              </w:rPr>
            </w:pPr>
            <w:r w:rsidRPr="001A6E1A">
              <w:rPr>
                <w:rFonts w:cs="Tahoma"/>
                <w:bCs/>
                <w:color w:val="000000"/>
                <w:szCs w:val="18"/>
              </w:rPr>
              <w:t xml:space="preserve">Lid Raad van Toezicht Stichting OSG </w:t>
            </w:r>
            <w:r w:rsidR="005F40EF">
              <w:rPr>
                <w:rFonts w:cs="Tahoma"/>
                <w:bCs/>
                <w:color w:val="000000"/>
                <w:szCs w:val="18"/>
              </w:rPr>
              <w:t>Twente*</w:t>
            </w:r>
          </w:p>
          <w:p w14:paraId="77797455" w14:textId="77777777" w:rsidR="0061551B" w:rsidRPr="001A6E1A" w:rsidRDefault="0061551B" w:rsidP="00AC5590">
            <w:pPr>
              <w:pStyle w:val="Lijstalinea"/>
              <w:numPr>
                <w:ilvl w:val="0"/>
                <w:numId w:val="21"/>
              </w:numPr>
              <w:rPr>
                <w:rFonts w:cs="Tahoma"/>
                <w:bCs/>
                <w:color w:val="000000"/>
                <w:szCs w:val="18"/>
              </w:rPr>
            </w:pPr>
            <w:r w:rsidRPr="001A6E1A">
              <w:rPr>
                <w:rFonts w:cs="Tahoma"/>
                <w:bCs/>
                <w:color w:val="000000"/>
                <w:szCs w:val="18"/>
              </w:rPr>
              <w:t>Penningmeester Stichting Vrienden van de Veene</w:t>
            </w:r>
          </w:p>
        </w:tc>
        <w:tc>
          <w:tcPr>
            <w:tcW w:w="6358" w:type="dxa"/>
          </w:tcPr>
          <w:p w14:paraId="0970C61C" w14:textId="77777777" w:rsidR="0061551B" w:rsidRDefault="0061551B" w:rsidP="00AC5590">
            <w:pPr>
              <w:spacing w:after="200"/>
              <w:rPr>
                <w:rFonts w:cs="Tahoma"/>
                <w:szCs w:val="18"/>
              </w:rPr>
            </w:pPr>
            <w:r>
              <w:rPr>
                <w:rFonts w:cs="Tahoma"/>
                <w:szCs w:val="18"/>
              </w:rPr>
              <w:t xml:space="preserve">Volkshuisvesting, maatschappij, governance, vastgoed, leefbaarheid, juridische zaken, openbaar bestuur, wijkontwikkeling, regionale binding en samenleving </w:t>
            </w:r>
          </w:p>
          <w:p w14:paraId="466CE2EF" w14:textId="1897B8AB" w:rsidR="0061551B" w:rsidRDefault="00FC0DEC" w:rsidP="00AC5590">
            <w:pPr>
              <w:spacing w:after="200"/>
              <w:rPr>
                <w:rFonts w:cs="Tahoma"/>
                <w:szCs w:val="18"/>
              </w:rPr>
            </w:pPr>
            <w:r>
              <w:rPr>
                <w:rFonts w:cs="Tahoma"/>
                <w:i/>
                <w:iCs/>
                <w:szCs w:val="18"/>
              </w:rPr>
              <w:t>h</w:t>
            </w:r>
            <w:r w:rsidR="0061551B">
              <w:rPr>
                <w:rFonts w:cs="Tahoma"/>
                <w:i/>
                <w:iCs/>
                <w:szCs w:val="18"/>
              </w:rPr>
              <w:t>uurdercommissaris</w:t>
            </w:r>
          </w:p>
        </w:tc>
      </w:tr>
      <w:tr w:rsidR="0061551B" w:rsidRPr="0085168F" w14:paraId="5E0F25AA" w14:textId="77777777" w:rsidTr="000232E2">
        <w:tblPrEx>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PrEx>
        <w:trPr>
          <w:trHeight w:val="1499"/>
          <w:tblCellSpacing w:w="7" w:type="dxa"/>
        </w:trPr>
        <w:tc>
          <w:tcPr>
            <w:tcW w:w="1394" w:type="dxa"/>
          </w:tcPr>
          <w:p w14:paraId="007EA9E9" w14:textId="77777777" w:rsidR="0061551B" w:rsidRDefault="0061551B" w:rsidP="00AC5590">
            <w:pPr>
              <w:spacing w:after="200"/>
              <w:rPr>
                <w:rFonts w:cs="Tahoma"/>
                <w:szCs w:val="18"/>
              </w:rPr>
            </w:pPr>
            <w:r>
              <w:rPr>
                <w:rFonts w:cs="Tahoma"/>
                <w:szCs w:val="18"/>
              </w:rPr>
              <w:lastRenderedPageBreak/>
              <w:t>De heer A.N. Kreuwel</w:t>
            </w:r>
          </w:p>
        </w:tc>
        <w:tc>
          <w:tcPr>
            <w:tcW w:w="1687" w:type="dxa"/>
          </w:tcPr>
          <w:p w14:paraId="1648F736" w14:textId="0D02686B" w:rsidR="0061551B" w:rsidRPr="002A4F6E" w:rsidRDefault="00254F78" w:rsidP="00AC5590">
            <w:pPr>
              <w:spacing w:after="200"/>
              <w:rPr>
                <w:rFonts w:cs="Tahoma"/>
                <w:szCs w:val="18"/>
              </w:rPr>
            </w:pPr>
            <w:r>
              <w:rPr>
                <w:rFonts w:cs="Tahoma"/>
                <w:szCs w:val="18"/>
              </w:rPr>
              <w:t>Controller</w:t>
            </w:r>
            <w:r w:rsidR="0061551B">
              <w:rPr>
                <w:rFonts w:cs="Tahoma"/>
                <w:szCs w:val="18"/>
              </w:rPr>
              <w:t xml:space="preserve"> Coöperatie Medisch Specialisten</w:t>
            </w:r>
          </w:p>
        </w:tc>
        <w:tc>
          <w:tcPr>
            <w:tcW w:w="5089" w:type="dxa"/>
          </w:tcPr>
          <w:p w14:paraId="624EED49" w14:textId="4201DA2D" w:rsidR="0061551B" w:rsidRPr="00B56F70" w:rsidRDefault="0061551B" w:rsidP="000B0CA7">
            <w:pPr>
              <w:pStyle w:val="Lijstalinea"/>
              <w:numPr>
                <w:ilvl w:val="0"/>
                <w:numId w:val="22"/>
              </w:numPr>
              <w:rPr>
                <w:rFonts w:cs="Tahoma"/>
                <w:bCs/>
                <w:color w:val="000000"/>
                <w:szCs w:val="18"/>
              </w:rPr>
            </w:pPr>
            <w:r w:rsidRPr="00B56F70">
              <w:rPr>
                <w:rFonts w:cs="Tahoma"/>
                <w:bCs/>
                <w:color w:val="000000"/>
                <w:szCs w:val="18"/>
              </w:rPr>
              <w:t>Lid bestuur ZGT Overzee</w:t>
            </w:r>
            <w:r w:rsidR="00B56F70" w:rsidRPr="00B56F70">
              <w:rPr>
                <w:rFonts w:cs="Tahoma"/>
                <w:bCs/>
                <w:color w:val="000000"/>
                <w:szCs w:val="18"/>
              </w:rPr>
              <w:t>/</w:t>
            </w:r>
            <w:r w:rsidRPr="00B56F70">
              <w:rPr>
                <w:rFonts w:cs="Tahoma"/>
                <w:bCs/>
                <w:color w:val="000000"/>
                <w:szCs w:val="18"/>
              </w:rPr>
              <w:t xml:space="preserve"> Hart voor Tanzania</w:t>
            </w:r>
          </w:p>
          <w:p w14:paraId="2DDB2A1A" w14:textId="046E5362" w:rsidR="00B20D71" w:rsidRPr="001A6E1A" w:rsidRDefault="00B20D71" w:rsidP="00AC5590">
            <w:pPr>
              <w:pStyle w:val="Lijstalinea"/>
              <w:numPr>
                <w:ilvl w:val="0"/>
                <w:numId w:val="22"/>
              </w:numPr>
              <w:rPr>
                <w:rFonts w:cs="Tahoma"/>
                <w:bCs/>
                <w:color w:val="000000"/>
                <w:szCs w:val="18"/>
              </w:rPr>
            </w:pPr>
            <w:r>
              <w:rPr>
                <w:rFonts w:cs="Tahoma"/>
                <w:bCs/>
                <w:color w:val="000000"/>
                <w:szCs w:val="18"/>
              </w:rPr>
              <w:t>Lid Rekenkamer Gemeente Enschede</w:t>
            </w:r>
          </w:p>
        </w:tc>
        <w:tc>
          <w:tcPr>
            <w:tcW w:w="6358" w:type="dxa"/>
          </w:tcPr>
          <w:p w14:paraId="4BEAEF1D" w14:textId="77777777" w:rsidR="0061551B" w:rsidRDefault="0061551B" w:rsidP="00AC5590">
            <w:pPr>
              <w:spacing w:after="200"/>
              <w:rPr>
                <w:rFonts w:cs="Tahoma"/>
                <w:szCs w:val="18"/>
              </w:rPr>
            </w:pPr>
            <w:r>
              <w:rPr>
                <w:rFonts w:cs="Tahoma"/>
                <w:szCs w:val="18"/>
              </w:rPr>
              <w:t>Maatschappij, governance, sociaal domein, bedrijfs- organisatiekunde, financiën en controle, openbaar bestuur, zorg, welzijn</w:t>
            </w:r>
          </w:p>
          <w:p w14:paraId="0EE40E8E" w14:textId="53FA5143" w:rsidR="0061551B" w:rsidRDefault="00254F78" w:rsidP="00AC5590">
            <w:pPr>
              <w:spacing w:after="200"/>
              <w:rPr>
                <w:rFonts w:cs="Tahoma"/>
                <w:szCs w:val="18"/>
              </w:rPr>
            </w:pPr>
            <w:r>
              <w:rPr>
                <w:rFonts w:cs="Tahoma"/>
                <w:i/>
                <w:iCs/>
                <w:szCs w:val="18"/>
              </w:rPr>
              <w:t xml:space="preserve">lid </w:t>
            </w:r>
            <w:r w:rsidR="00FC0DEC">
              <w:rPr>
                <w:rFonts w:cs="Tahoma"/>
                <w:i/>
                <w:iCs/>
                <w:szCs w:val="18"/>
              </w:rPr>
              <w:t>a</w:t>
            </w:r>
            <w:r w:rsidR="0061551B">
              <w:rPr>
                <w:rFonts w:cs="Tahoma"/>
                <w:i/>
                <w:iCs/>
                <w:szCs w:val="18"/>
              </w:rPr>
              <w:t>uditcommissie</w:t>
            </w:r>
          </w:p>
        </w:tc>
      </w:tr>
      <w:bookmarkEnd w:id="0"/>
    </w:tbl>
    <w:p w14:paraId="001A5D1A" w14:textId="3A38ABC7" w:rsidR="0034557C" w:rsidRDefault="0034557C" w:rsidP="00635688"/>
    <w:p w14:paraId="74317DA5" w14:textId="75844359" w:rsidR="00110143" w:rsidRPr="0069523F" w:rsidRDefault="00110143" w:rsidP="00110143">
      <w:pPr>
        <w:rPr>
          <w:i/>
          <w:iCs/>
        </w:rPr>
      </w:pPr>
      <w:r>
        <w:rPr>
          <w:i/>
          <w:iCs/>
        </w:rPr>
        <w:t>*</w:t>
      </w:r>
      <w:r w:rsidRPr="0069523F">
        <w:rPr>
          <w:i/>
          <w:iCs/>
        </w:rPr>
        <w:t>De heer E. Nijhoff was sinds 1 oktober 20</w:t>
      </w:r>
      <w:r>
        <w:rPr>
          <w:i/>
          <w:iCs/>
        </w:rPr>
        <w:t>18</w:t>
      </w:r>
      <w:r w:rsidRPr="0069523F">
        <w:rPr>
          <w:i/>
          <w:iCs/>
        </w:rPr>
        <w:t xml:space="preserve"> lid van de RvT van scholengemeenschap stichting OSG Erasmus. De heer G.B.J. Raanhuis was sinds 17 mei 2019 lid van de RvT van scholengemeenschap stichting OSG Hengelo.  Als gevolg van de bestuurlijke fusie van de stichting OSG Hengelo en de stichting OSG Erasmus per 1 augustus 2024 zitten de heren E. Nijhoff en G.B.J. Raanhuis per 1 augustus 2024 gezamenlijk in de Raad van Toezicht van de nieuwe stichting OSG Twente. </w:t>
      </w:r>
    </w:p>
    <w:p w14:paraId="29AE05B3" w14:textId="77777777" w:rsidR="00110143" w:rsidRPr="0069523F" w:rsidRDefault="00110143" w:rsidP="00110143">
      <w:pPr>
        <w:rPr>
          <w:i/>
          <w:iCs/>
        </w:rPr>
      </w:pPr>
      <w:r w:rsidRPr="0069523F">
        <w:rPr>
          <w:i/>
          <w:iCs/>
        </w:rPr>
        <w:t xml:space="preserve">Er is vastgesteld dat de </w:t>
      </w:r>
      <w:r>
        <w:rPr>
          <w:i/>
          <w:iCs/>
        </w:rPr>
        <w:t xml:space="preserve">ontstane </w:t>
      </w:r>
      <w:r w:rsidRPr="0069523F">
        <w:rPr>
          <w:i/>
          <w:iCs/>
        </w:rPr>
        <w:t xml:space="preserve">verwevenheid van de heren Nijhoff en Raanhuis hun beider onafhankelijkheid en kritisch kunnen opereren in de RVC van Beter Wonen niet in de weg staat.  Ten eerste bestaan er geen directe zakelijke relaties tussen Beter Wonen en OSG Twente. Er bestaan ook geen organisatorische, financiële of bestuurlijke afhankelijkheden tussen Beter Wonen en OSG Twente. Ten </w:t>
      </w:r>
      <w:r>
        <w:rPr>
          <w:i/>
          <w:iCs/>
        </w:rPr>
        <w:t>derde</w:t>
      </w:r>
      <w:r w:rsidRPr="0069523F">
        <w:rPr>
          <w:i/>
          <w:iCs/>
        </w:rPr>
        <w:t xml:space="preserve"> bestaan er ook geen zakelijke en/of privé relaties tussen de heer Raanhuis en de heer Nijhoff. Beide heren hebben een andere achtergrond </w:t>
      </w:r>
      <w:r>
        <w:rPr>
          <w:i/>
          <w:iCs/>
        </w:rPr>
        <w:t xml:space="preserve">in het dagelijks en arbeidzaam leven </w:t>
      </w:r>
      <w:r w:rsidRPr="0069523F">
        <w:rPr>
          <w:i/>
          <w:iCs/>
        </w:rPr>
        <w:t xml:space="preserve">en hebben ieders hun eigen expertise.  Tot slot is er geen sprake van langdurige en herhaalde samenwerking tussen de heren Raanhuis en Nijhoff in beide toezichthoudende organen. De heren hebben zelf niet gekozen voor deze </w:t>
      </w:r>
      <w:r>
        <w:rPr>
          <w:i/>
          <w:iCs/>
        </w:rPr>
        <w:t>verwevenheid</w:t>
      </w:r>
      <w:r w:rsidRPr="0069523F">
        <w:rPr>
          <w:i/>
          <w:iCs/>
        </w:rPr>
        <w:t xml:space="preserve"> maar deze is </w:t>
      </w:r>
      <w:r>
        <w:rPr>
          <w:i/>
          <w:iCs/>
        </w:rPr>
        <w:t>het gevolg van</w:t>
      </w:r>
      <w:r w:rsidRPr="0069523F">
        <w:rPr>
          <w:i/>
          <w:iCs/>
        </w:rPr>
        <w:t xml:space="preserve"> de fusie in het belang van de scholengemeenschap</w:t>
      </w:r>
      <w:r>
        <w:rPr>
          <w:i/>
          <w:iCs/>
        </w:rPr>
        <w:t>pen.</w:t>
      </w:r>
    </w:p>
    <w:p w14:paraId="141D6717" w14:textId="77777777" w:rsidR="00110143" w:rsidRPr="0069523F" w:rsidRDefault="00110143" w:rsidP="00110143">
      <w:pPr>
        <w:rPr>
          <w:i/>
          <w:iCs/>
        </w:rPr>
      </w:pPr>
      <w:r w:rsidRPr="0069523F">
        <w:rPr>
          <w:i/>
          <w:iCs/>
        </w:rPr>
        <w:t xml:space="preserve">Feitelijke nadeligheid voor de belangen van Beter Wonen zijn er niet. Beide organisaties opereren in gescheiden domeinen en er is geen sprake van economische of bestuurlijke verwevenheid. </w:t>
      </w:r>
    </w:p>
    <w:p w14:paraId="4708A6A3" w14:textId="77777777" w:rsidR="00110143" w:rsidRPr="0069523F" w:rsidRDefault="00110143" w:rsidP="00110143">
      <w:pPr>
        <w:rPr>
          <w:i/>
          <w:iCs/>
        </w:rPr>
      </w:pPr>
      <w:r w:rsidRPr="0069523F">
        <w:rPr>
          <w:i/>
          <w:iCs/>
        </w:rPr>
        <w:t xml:space="preserve">Tot slot zijn er duidelijke beheersmaatregelen getroffen ter borging van een integere en transparante invulling van het toezicht: </w:t>
      </w:r>
    </w:p>
    <w:p w14:paraId="31ED876B" w14:textId="77777777" w:rsidR="00110143" w:rsidRPr="005B173F" w:rsidRDefault="00110143" w:rsidP="00110143">
      <w:pPr>
        <w:pStyle w:val="Lijstalinea"/>
        <w:numPr>
          <w:ilvl w:val="0"/>
          <w:numId w:val="23"/>
        </w:numPr>
        <w:spacing w:after="160" w:line="259" w:lineRule="auto"/>
        <w:rPr>
          <w:i/>
          <w:iCs/>
        </w:rPr>
      </w:pPr>
      <w:r w:rsidRPr="0069523F">
        <w:rPr>
          <w:i/>
          <w:iCs/>
          <w:u w:val="single"/>
        </w:rPr>
        <w:t>Transparantie en registratie</w:t>
      </w:r>
      <w:r w:rsidRPr="0069523F">
        <w:rPr>
          <w:i/>
          <w:iCs/>
        </w:rPr>
        <w:t>: de dubbelfunctie van de heren Nijhoff en Raanhuis wordt vermeld in het jaarverslag van Beter Wonen en staat vermeld op de website van Beter Wonen;</w:t>
      </w:r>
    </w:p>
    <w:p w14:paraId="0070E34D" w14:textId="77777777" w:rsidR="00110143" w:rsidRPr="005B173F" w:rsidRDefault="00110143" w:rsidP="00110143">
      <w:pPr>
        <w:pStyle w:val="Lijstalinea"/>
        <w:numPr>
          <w:ilvl w:val="0"/>
          <w:numId w:val="23"/>
        </w:numPr>
        <w:spacing w:after="160" w:line="259" w:lineRule="auto"/>
        <w:rPr>
          <w:i/>
          <w:iCs/>
        </w:rPr>
      </w:pPr>
      <w:r w:rsidRPr="005B173F">
        <w:rPr>
          <w:i/>
          <w:iCs/>
          <w:u w:val="single"/>
        </w:rPr>
        <w:t>Rolzuiverheid</w:t>
      </w:r>
      <w:r w:rsidRPr="005B173F">
        <w:rPr>
          <w:i/>
          <w:iCs/>
        </w:rPr>
        <w:t xml:space="preserve">: de betrokken toezichthouders zullen niet gezamenlijk een sleutelrol vervullen;  </w:t>
      </w:r>
    </w:p>
    <w:p w14:paraId="05CCA2C5" w14:textId="77777777" w:rsidR="00110143" w:rsidRDefault="00110143" w:rsidP="00110143">
      <w:pPr>
        <w:pStyle w:val="Lijstalinea"/>
        <w:numPr>
          <w:ilvl w:val="0"/>
          <w:numId w:val="23"/>
        </w:numPr>
        <w:spacing w:after="160" w:line="259" w:lineRule="auto"/>
        <w:rPr>
          <w:i/>
          <w:iCs/>
        </w:rPr>
      </w:pPr>
      <w:r w:rsidRPr="0010364D">
        <w:rPr>
          <w:i/>
          <w:iCs/>
          <w:u w:val="single"/>
        </w:rPr>
        <w:t>Scheiden</w:t>
      </w:r>
      <w:r>
        <w:rPr>
          <w:i/>
          <w:iCs/>
        </w:rPr>
        <w:t>:</w:t>
      </w:r>
      <w:r w:rsidRPr="0010364D">
        <w:rPr>
          <w:i/>
          <w:iCs/>
        </w:rPr>
        <w:t xml:space="preserve"> mocht (in theorie/in de toekomst) enige overlap of samenwerking met OSG </w:t>
      </w:r>
      <w:r>
        <w:rPr>
          <w:i/>
          <w:iCs/>
        </w:rPr>
        <w:t xml:space="preserve">       </w:t>
      </w:r>
      <w:r w:rsidRPr="0010364D">
        <w:rPr>
          <w:i/>
          <w:iCs/>
        </w:rPr>
        <w:t xml:space="preserve">Twente aan de orde zijn dan zullen de betrokken toezichthouders </w:t>
      </w:r>
      <w:r>
        <w:rPr>
          <w:i/>
          <w:iCs/>
        </w:rPr>
        <w:t xml:space="preserve">met betrekking tot het onderwerp </w:t>
      </w:r>
      <w:r w:rsidRPr="0010364D">
        <w:rPr>
          <w:i/>
          <w:iCs/>
        </w:rPr>
        <w:t>geen informatie ontvangen, niet deelnemen aan de beraadslagingen en zich onthouden van deelname aan besluitvorming;</w:t>
      </w:r>
    </w:p>
    <w:p w14:paraId="168D0FF9" w14:textId="77777777" w:rsidR="00110143" w:rsidRPr="00ED6D40" w:rsidRDefault="00110143" w:rsidP="00110143">
      <w:pPr>
        <w:pStyle w:val="Lijstalinea"/>
        <w:numPr>
          <w:ilvl w:val="0"/>
          <w:numId w:val="23"/>
        </w:numPr>
        <w:spacing w:after="160" w:line="259" w:lineRule="auto"/>
        <w:rPr>
          <w:i/>
          <w:iCs/>
        </w:rPr>
      </w:pPr>
      <w:r w:rsidRPr="00ED6D40">
        <w:rPr>
          <w:i/>
          <w:iCs/>
          <w:u w:val="single"/>
        </w:rPr>
        <w:t>Periodieke toetsing</w:t>
      </w:r>
      <w:r w:rsidRPr="00ED6D40">
        <w:rPr>
          <w:i/>
          <w:iCs/>
        </w:rPr>
        <w:t>: jaarlijks wordt een zelfevaluatie met externe begeleiding uitgevoerd waarin ook de verwevenheid wordt geagendeerd. Tevens wordt bij de jaarlijkse evaluatie besproken of de verwevenheid effect heeft op het functioneren van de betreffende RvC-leden en/of de RvC als geheel.</w:t>
      </w:r>
    </w:p>
    <w:p w14:paraId="5A3F962C" w14:textId="28E811DF" w:rsidR="005F40EF" w:rsidRPr="005F40EF" w:rsidRDefault="005F40EF" w:rsidP="00110143">
      <w:pPr>
        <w:pStyle w:val="Lijstalinea"/>
        <w:ind w:left="360"/>
      </w:pPr>
    </w:p>
    <w:sectPr w:rsidR="005F40EF" w:rsidRPr="005F40EF" w:rsidSect="00235CFC">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0CE"/>
    <w:multiLevelType w:val="hybridMultilevel"/>
    <w:tmpl w:val="6518B1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575140"/>
    <w:multiLevelType w:val="hybridMultilevel"/>
    <w:tmpl w:val="B86A4B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C566E64"/>
    <w:multiLevelType w:val="hybridMultilevel"/>
    <w:tmpl w:val="5EDC9D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2B83100"/>
    <w:multiLevelType w:val="hybridMultilevel"/>
    <w:tmpl w:val="0BFE87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5EB6CC7"/>
    <w:multiLevelType w:val="hybridMultilevel"/>
    <w:tmpl w:val="A6E655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8450E26"/>
    <w:multiLevelType w:val="hybridMultilevel"/>
    <w:tmpl w:val="0406D7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B982766"/>
    <w:multiLevelType w:val="hybridMultilevel"/>
    <w:tmpl w:val="AB4C12A8"/>
    <w:lvl w:ilvl="0" w:tplc="A3685E52">
      <w:start w:val="5"/>
      <w:numFmt w:val="bullet"/>
      <w:pStyle w:val="Opsommingsteken2"/>
      <w:lvlText w:val="-"/>
      <w:lvlJc w:val="left"/>
      <w:pPr>
        <w:tabs>
          <w:tab w:val="num" w:pos="567"/>
        </w:tabs>
        <w:ind w:left="567" w:hanging="283"/>
      </w:pPr>
      <w:rPr>
        <w:rFonts w:ascii="Verdana" w:hAnsi="Verdana" w:cs="Elephant" w:hint="default"/>
        <w:b w:val="0"/>
        <w:i w:val="0"/>
        <w:color w:val="333333"/>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25C1D"/>
    <w:multiLevelType w:val="hybridMultilevel"/>
    <w:tmpl w:val="0DD4EA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BB677DE"/>
    <w:multiLevelType w:val="hybridMultilevel"/>
    <w:tmpl w:val="54744248"/>
    <w:lvl w:ilvl="0" w:tplc="06BA8EB0">
      <w:start w:val="1"/>
      <w:numFmt w:val="bullet"/>
      <w:lvlRestart w:val="0"/>
      <w:lvlText w:val=""/>
      <w:lvlJc w:val="left"/>
      <w:pPr>
        <w:tabs>
          <w:tab w:val="num" w:pos="360"/>
        </w:tabs>
        <w:ind w:left="284" w:hanging="284"/>
      </w:pPr>
      <w:rPr>
        <w:rFonts w:ascii="Symbol" w:hAnsi="Symbol" w:hint="default"/>
        <w:b w:val="0"/>
        <w:i w:val="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A57038"/>
    <w:multiLevelType w:val="hybridMultilevel"/>
    <w:tmpl w:val="73AC2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2DE6796"/>
    <w:multiLevelType w:val="hybridMultilevel"/>
    <w:tmpl w:val="6FB0307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1" w15:restartNumberingAfterBreak="0">
    <w:nsid w:val="538852BA"/>
    <w:multiLevelType w:val="hybridMultilevel"/>
    <w:tmpl w:val="D9DA0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9B22134"/>
    <w:multiLevelType w:val="hybridMultilevel"/>
    <w:tmpl w:val="FB126B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B335A30"/>
    <w:multiLevelType w:val="hybridMultilevel"/>
    <w:tmpl w:val="3F74A5C6"/>
    <w:lvl w:ilvl="0" w:tplc="75409FC6">
      <w:start w:val="1"/>
      <w:numFmt w:val="bullet"/>
      <w:lvlRestart w:val="0"/>
      <w:lvlText w:val="-"/>
      <w:lvlJc w:val="left"/>
      <w:pPr>
        <w:tabs>
          <w:tab w:val="num" w:pos="360"/>
        </w:tabs>
        <w:ind w:left="284" w:hanging="284"/>
      </w:pPr>
      <w:rPr>
        <w:rFonts w:hint="default"/>
        <w:b w:val="0"/>
        <w:i w:val="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FE4633"/>
    <w:multiLevelType w:val="hybridMultilevel"/>
    <w:tmpl w:val="F26C9892"/>
    <w:lvl w:ilvl="0" w:tplc="BBA8A6BE">
      <w:numFmt w:val="bullet"/>
      <w:pStyle w:val="Opsommingsteken1"/>
      <w:lvlText w:val=""/>
      <w:lvlJc w:val="left"/>
      <w:pPr>
        <w:tabs>
          <w:tab w:val="num" w:pos="284"/>
        </w:tabs>
        <w:ind w:left="284" w:hanging="284"/>
      </w:pPr>
      <w:rPr>
        <w:rFonts w:ascii="Symbol" w:hAnsi="Symbol" w:hint="default"/>
        <w:b w:val="0"/>
        <w:i w:val="0"/>
        <w:color w:val="000000"/>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400609"/>
    <w:multiLevelType w:val="hybridMultilevel"/>
    <w:tmpl w:val="532655BA"/>
    <w:lvl w:ilvl="0" w:tplc="41BE721E">
      <w:start w:val="1"/>
      <w:numFmt w:val="bullet"/>
      <w:lvlRestart w:val="0"/>
      <w:lvlText w:val="."/>
      <w:lvlJc w:val="left"/>
      <w:pPr>
        <w:tabs>
          <w:tab w:val="num" w:pos="643"/>
        </w:tabs>
        <w:ind w:left="567" w:hanging="284"/>
      </w:pPr>
      <w:rPr>
        <w:rFonts w:hint="default"/>
        <w:b/>
        <w:i w:val="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E92B5B"/>
    <w:multiLevelType w:val="hybridMultilevel"/>
    <w:tmpl w:val="AEB03B64"/>
    <w:lvl w:ilvl="0" w:tplc="F6C0E07C">
      <w:numFmt w:val="bullet"/>
      <w:lvlText w:val="-"/>
      <w:lvlJc w:val="left"/>
      <w:pPr>
        <w:ind w:left="720" w:hanging="360"/>
      </w:pPr>
      <w:rPr>
        <w:rFonts w:ascii="Verdana" w:eastAsia="Times New Roman" w:hAnsi="Verdana" w:cs="Times New Roman"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F7D2980"/>
    <w:multiLevelType w:val="hybridMultilevel"/>
    <w:tmpl w:val="A72CB50E"/>
    <w:lvl w:ilvl="0" w:tplc="04130001">
      <w:start w:val="1"/>
      <w:numFmt w:val="bullet"/>
      <w:lvlText w:val=""/>
      <w:lvlJc w:val="left"/>
      <w:pPr>
        <w:ind w:left="360" w:hanging="360"/>
      </w:pPr>
      <w:rPr>
        <w:rFonts w:ascii="Symbol" w:hAnsi="Symbol" w:hint="default"/>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04498701">
    <w:abstractNumId w:val="8"/>
  </w:num>
  <w:num w:numId="2" w16cid:durableId="861824300">
    <w:abstractNumId w:val="15"/>
  </w:num>
  <w:num w:numId="3" w16cid:durableId="1347363314">
    <w:abstractNumId w:val="13"/>
  </w:num>
  <w:num w:numId="4" w16cid:durableId="1180778493">
    <w:abstractNumId w:val="8"/>
  </w:num>
  <w:num w:numId="5" w16cid:durableId="514465224">
    <w:abstractNumId w:val="15"/>
  </w:num>
  <w:num w:numId="6" w16cid:durableId="1379934530">
    <w:abstractNumId w:val="13"/>
  </w:num>
  <w:num w:numId="7" w16cid:durableId="367992138">
    <w:abstractNumId w:val="14"/>
  </w:num>
  <w:num w:numId="8" w16cid:durableId="824515423">
    <w:abstractNumId w:val="6"/>
  </w:num>
  <w:num w:numId="9" w16cid:durableId="1459489258">
    <w:abstractNumId w:val="13"/>
  </w:num>
  <w:num w:numId="10" w16cid:durableId="1531140947">
    <w:abstractNumId w:val="0"/>
  </w:num>
  <w:num w:numId="11" w16cid:durableId="275720378">
    <w:abstractNumId w:val="9"/>
  </w:num>
  <w:num w:numId="12" w16cid:durableId="1019163571">
    <w:abstractNumId w:val="11"/>
  </w:num>
  <w:num w:numId="13" w16cid:durableId="2140687666">
    <w:abstractNumId w:val="10"/>
  </w:num>
  <w:num w:numId="14" w16cid:durableId="1435587649">
    <w:abstractNumId w:val="12"/>
  </w:num>
  <w:num w:numId="15" w16cid:durableId="1218006496">
    <w:abstractNumId w:val="3"/>
  </w:num>
  <w:num w:numId="16" w16cid:durableId="1714695832">
    <w:abstractNumId w:val="9"/>
  </w:num>
  <w:num w:numId="17" w16cid:durableId="426460249">
    <w:abstractNumId w:val="5"/>
  </w:num>
  <w:num w:numId="18" w16cid:durableId="714426300">
    <w:abstractNumId w:val="16"/>
  </w:num>
  <w:num w:numId="19" w16cid:durableId="997728904">
    <w:abstractNumId w:val="17"/>
  </w:num>
  <w:num w:numId="20" w16cid:durableId="250630515">
    <w:abstractNumId w:val="1"/>
  </w:num>
  <w:num w:numId="21" w16cid:durableId="50812863">
    <w:abstractNumId w:val="2"/>
  </w:num>
  <w:num w:numId="22" w16cid:durableId="1546525545">
    <w:abstractNumId w:val="4"/>
  </w:num>
  <w:num w:numId="23" w16cid:durableId="953055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29"/>
    <w:rsid w:val="0000536A"/>
    <w:rsid w:val="00022A98"/>
    <w:rsid w:val="000232E2"/>
    <w:rsid w:val="00025F82"/>
    <w:rsid w:val="0002789F"/>
    <w:rsid w:val="00036460"/>
    <w:rsid w:val="00051531"/>
    <w:rsid w:val="00064BE1"/>
    <w:rsid w:val="000A7411"/>
    <w:rsid w:val="000A746C"/>
    <w:rsid w:val="000B30DA"/>
    <w:rsid w:val="000D785E"/>
    <w:rsid w:val="000E32EC"/>
    <w:rsid w:val="000E3DF1"/>
    <w:rsid w:val="000F0B54"/>
    <w:rsid w:val="00110143"/>
    <w:rsid w:val="00115373"/>
    <w:rsid w:val="00135178"/>
    <w:rsid w:val="001354F1"/>
    <w:rsid w:val="00151B98"/>
    <w:rsid w:val="00156684"/>
    <w:rsid w:val="00171F56"/>
    <w:rsid w:val="0018430B"/>
    <w:rsid w:val="00190FD4"/>
    <w:rsid w:val="001B3D03"/>
    <w:rsid w:val="001C03B1"/>
    <w:rsid w:val="001C1400"/>
    <w:rsid w:val="001F0860"/>
    <w:rsid w:val="001F0CC6"/>
    <w:rsid w:val="001F36BC"/>
    <w:rsid w:val="0023049C"/>
    <w:rsid w:val="00235CFC"/>
    <w:rsid w:val="00254F78"/>
    <w:rsid w:val="0027133D"/>
    <w:rsid w:val="00290BF8"/>
    <w:rsid w:val="002A4F6E"/>
    <w:rsid w:val="002A7FC7"/>
    <w:rsid w:val="002B227E"/>
    <w:rsid w:val="002D0F37"/>
    <w:rsid w:val="002D7329"/>
    <w:rsid w:val="002F0A28"/>
    <w:rsid w:val="00306822"/>
    <w:rsid w:val="00324463"/>
    <w:rsid w:val="00335A29"/>
    <w:rsid w:val="00336B47"/>
    <w:rsid w:val="003426B0"/>
    <w:rsid w:val="0034557C"/>
    <w:rsid w:val="00357D13"/>
    <w:rsid w:val="003D0283"/>
    <w:rsid w:val="003D1146"/>
    <w:rsid w:val="003E19EE"/>
    <w:rsid w:val="003E46D8"/>
    <w:rsid w:val="00406CD7"/>
    <w:rsid w:val="0042418E"/>
    <w:rsid w:val="00444534"/>
    <w:rsid w:val="0045160D"/>
    <w:rsid w:val="00453479"/>
    <w:rsid w:val="0046070E"/>
    <w:rsid w:val="00475525"/>
    <w:rsid w:val="004A41A6"/>
    <w:rsid w:val="004B4E68"/>
    <w:rsid w:val="004D28F0"/>
    <w:rsid w:val="00502674"/>
    <w:rsid w:val="0050593D"/>
    <w:rsid w:val="00515F15"/>
    <w:rsid w:val="0053107F"/>
    <w:rsid w:val="005342F4"/>
    <w:rsid w:val="00552D1D"/>
    <w:rsid w:val="00553830"/>
    <w:rsid w:val="0059721A"/>
    <w:rsid w:val="005A36AF"/>
    <w:rsid w:val="005B7254"/>
    <w:rsid w:val="005F40EF"/>
    <w:rsid w:val="0060712E"/>
    <w:rsid w:val="006132B0"/>
    <w:rsid w:val="0061551B"/>
    <w:rsid w:val="00635688"/>
    <w:rsid w:val="00641F7D"/>
    <w:rsid w:val="00676F5E"/>
    <w:rsid w:val="00690974"/>
    <w:rsid w:val="006914F9"/>
    <w:rsid w:val="006934EC"/>
    <w:rsid w:val="006C0C42"/>
    <w:rsid w:val="006D2C97"/>
    <w:rsid w:val="006E7D93"/>
    <w:rsid w:val="007061EC"/>
    <w:rsid w:val="007207C5"/>
    <w:rsid w:val="007302CA"/>
    <w:rsid w:val="00732280"/>
    <w:rsid w:val="00761DA5"/>
    <w:rsid w:val="00764767"/>
    <w:rsid w:val="007B56B3"/>
    <w:rsid w:val="00803E96"/>
    <w:rsid w:val="00804672"/>
    <w:rsid w:val="0084019D"/>
    <w:rsid w:val="0086623F"/>
    <w:rsid w:val="00866DB2"/>
    <w:rsid w:val="008741A5"/>
    <w:rsid w:val="00881104"/>
    <w:rsid w:val="008C1189"/>
    <w:rsid w:val="008C5EE2"/>
    <w:rsid w:val="008D0560"/>
    <w:rsid w:val="008D4B1B"/>
    <w:rsid w:val="008D7CEF"/>
    <w:rsid w:val="008F2E83"/>
    <w:rsid w:val="00921A99"/>
    <w:rsid w:val="00934628"/>
    <w:rsid w:val="0094700A"/>
    <w:rsid w:val="00952627"/>
    <w:rsid w:val="00962367"/>
    <w:rsid w:val="00965BB8"/>
    <w:rsid w:val="00982BDE"/>
    <w:rsid w:val="009B2B2C"/>
    <w:rsid w:val="009B6F25"/>
    <w:rsid w:val="009D687C"/>
    <w:rsid w:val="009E3734"/>
    <w:rsid w:val="009F715B"/>
    <w:rsid w:val="00A1045C"/>
    <w:rsid w:val="00A26EAE"/>
    <w:rsid w:val="00A27326"/>
    <w:rsid w:val="00A432DD"/>
    <w:rsid w:val="00A55E9B"/>
    <w:rsid w:val="00A56EA3"/>
    <w:rsid w:val="00A61731"/>
    <w:rsid w:val="00A744C6"/>
    <w:rsid w:val="00AB08E3"/>
    <w:rsid w:val="00AF0805"/>
    <w:rsid w:val="00AF3D24"/>
    <w:rsid w:val="00B01BB0"/>
    <w:rsid w:val="00B12703"/>
    <w:rsid w:val="00B15955"/>
    <w:rsid w:val="00B20D71"/>
    <w:rsid w:val="00B30D97"/>
    <w:rsid w:val="00B515C0"/>
    <w:rsid w:val="00B56F70"/>
    <w:rsid w:val="00B7227D"/>
    <w:rsid w:val="00B9104C"/>
    <w:rsid w:val="00B94989"/>
    <w:rsid w:val="00B96380"/>
    <w:rsid w:val="00BA3E3D"/>
    <w:rsid w:val="00BA6E46"/>
    <w:rsid w:val="00BB0B8E"/>
    <w:rsid w:val="00BB5A70"/>
    <w:rsid w:val="00BC7563"/>
    <w:rsid w:val="00BD54DB"/>
    <w:rsid w:val="00BE60CB"/>
    <w:rsid w:val="00BF4CBE"/>
    <w:rsid w:val="00C06789"/>
    <w:rsid w:val="00C24DBF"/>
    <w:rsid w:val="00C55DE1"/>
    <w:rsid w:val="00C679D3"/>
    <w:rsid w:val="00C764CE"/>
    <w:rsid w:val="00C86868"/>
    <w:rsid w:val="00C96BE9"/>
    <w:rsid w:val="00CB7107"/>
    <w:rsid w:val="00CD4E44"/>
    <w:rsid w:val="00D003C7"/>
    <w:rsid w:val="00D03E2C"/>
    <w:rsid w:val="00D0545F"/>
    <w:rsid w:val="00D3240A"/>
    <w:rsid w:val="00D335E3"/>
    <w:rsid w:val="00D56199"/>
    <w:rsid w:val="00D71248"/>
    <w:rsid w:val="00D76EE4"/>
    <w:rsid w:val="00DA6992"/>
    <w:rsid w:val="00DB07B2"/>
    <w:rsid w:val="00DC4235"/>
    <w:rsid w:val="00DC5D19"/>
    <w:rsid w:val="00DD1B4A"/>
    <w:rsid w:val="00DD3AD7"/>
    <w:rsid w:val="00DF218C"/>
    <w:rsid w:val="00DF66F2"/>
    <w:rsid w:val="00E32505"/>
    <w:rsid w:val="00E60BCE"/>
    <w:rsid w:val="00E807A4"/>
    <w:rsid w:val="00E8559F"/>
    <w:rsid w:val="00E86F82"/>
    <w:rsid w:val="00EA270E"/>
    <w:rsid w:val="00EA4C33"/>
    <w:rsid w:val="00EB387A"/>
    <w:rsid w:val="00EC2ECA"/>
    <w:rsid w:val="00EC7479"/>
    <w:rsid w:val="00F037BA"/>
    <w:rsid w:val="00F139E4"/>
    <w:rsid w:val="00F5376D"/>
    <w:rsid w:val="00F6678C"/>
    <w:rsid w:val="00F927B7"/>
    <w:rsid w:val="00F96A01"/>
    <w:rsid w:val="00FB073B"/>
    <w:rsid w:val="00FC0DE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114EE4"/>
  <w15:docId w15:val="{B0EBDAF7-BAE8-4378-AD86-388E78DF2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7329"/>
    <w:pPr>
      <w:spacing w:line="240" w:lineRule="atLeast"/>
    </w:pPr>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rsid w:val="00DC4235"/>
    <w:rPr>
      <w:rFonts w:ascii="Arial" w:hAnsi="Arial"/>
      <w:sz w:val="20"/>
    </w:rPr>
  </w:style>
  <w:style w:type="paragraph" w:styleId="Voettekst">
    <w:name w:val="footer"/>
    <w:basedOn w:val="Standaard"/>
    <w:rsid w:val="00453479"/>
    <w:pPr>
      <w:tabs>
        <w:tab w:val="center" w:pos="4536"/>
        <w:tab w:val="right" w:pos="9072"/>
      </w:tabs>
      <w:spacing w:line="180" w:lineRule="atLeast"/>
    </w:pPr>
    <w:rPr>
      <w:i/>
      <w:sz w:val="13"/>
    </w:rPr>
  </w:style>
  <w:style w:type="paragraph" w:styleId="Koptekst">
    <w:name w:val="header"/>
    <w:basedOn w:val="Standaard"/>
    <w:rsid w:val="00453479"/>
    <w:pPr>
      <w:tabs>
        <w:tab w:val="center" w:pos="4536"/>
        <w:tab w:val="right" w:pos="9072"/>
      </w:tabs>
    </w:pPr>
  </w:style>
  <w:style w:type="paragraph" w:customStyle="1" w:styleId="BWAdrestekst">
    <w:name w:val="BWAdrestekst"/>
    <w:basedOn w:val="Standaard"/>
    <w:rsid w:val="00453479"/>
    <w:pPr>
      <w:spacing w:line="180" w:lineRule="atLeast"/>
    </w:pPr>
    <w:rPr>
      <w:sz w:val="13"/>
    </w:rPr>
  </w:style>
  <w:style w:type="paragraph" w:customStyle="1" w:styleId="BWKop">
    <w:name w:val="BWKop"/>
    <w:basedOn w:val="Standaard"/>
    <w:next w:val="Standaard"/>
    <w:qFormat/>
    <w:rsid w:val="00453479"/>
    <w:rPr>
      <w:b/>
      <w:sz w:val="30"/>
    </w:rPr>
  </w:style>
  <w:style w:type="paragraph" w:customStyle="1" w:styleId="BWVoetnoot">
    <w:name w:val="BWVoetnoot"/>
    <w:basedOn w:val="Standaard"/>
    <w:rsid w:val="00453479"/>
    <w:pPr>
      <w:spacing w:line="180" w:lineRule="atLeast"/>
    </w:pPr>
    <w:rPr>
      <w:sz w:val="13"/>
    </w:rPr>
  </w:style>
  <w:style w:type="paragraph" w:customStyle="1" w:styleId="Opsommingsteken1">
    <w:name w:val="Opsommingsteken1"/>
    <w:basedOn w:val="Standaard"/>
    <w:qFormat/>
    <w:rsid w:val="00453479"/>
    <w:pPr>
      <w:numPr>
        <w:numId w:val="7"/>
      </w:numPr>
    </w:pPr>
    <w:rPr>
      <w:rFonts w:cs="Arial"/>
      <w:szCs w:val="20"/>
      <w:lang w:eastAsia="en-US"/>
    </w:rPr>
  </w:style>
  <w:style w:type="paragraph" w:customStyle="1" w:styleId="Opsommingsteken2">
    <w:name w:val="Opsommingsteken2"/>
    <w:basedOn w:val="Standaard"/>
    <w:qFormat/>
    <w:rsid w:val="00453479"/>
    <w:pPr>
      <w:numPr>
        <w:numId w:val="8"/>
      </w:numPr>
    </w:pPr>
  </w:style>
  <w:style w:type="paragraph" w:customStyle="1" w:styleId="Subkop1">
    <w:name w:val="Subkop1"/>
    <w:basedOn w:val="Standaard"/>
    <w:next w:val="Standaard"/>
    <w:qFormat/>
    <w:rsid w:val="00453479"/>
    <w:rPr>
      <w:b/>
    </w:rPr>
  </w:style>
  <w:style w:type="paragraph" w:customStyle="1" w:styleId="Subkop2">
    <w:name w:val="Subkop2"/>
    <w:basedOn w:val="Standaard"/>
    <w:next w:val="Standaard"/>
    <w:qFormat/>
    <w:rsid w:val="00453479"/>
    <w:rPr>
      <w:i/>
    </w:rPr>
  </w:style>
  <w:style w:type="character" w:customStyle="1" w:styleId="s1">
    <w:name w:val="s1"/>
    <w:basedOn w:val="Standaardalinea-lettertype"/>
    <w:rsid w:val="007302CA"/>
  </w:style>
  <w:style w:type="paragraph" w:styleId="Lijstalinea">
    <w:name w:val="List Paragraph"/>
    <w:basedOn w:val="Standaard"/>
    <w:link w:val="LijstalineaChar"/>
    <w:uiPriority w:val="34"/>
    <w:qFormat/>
    <w:rsid w:val="007302CA"/>
    <w:pPr>
      <w:ind w:left="720"/>
      <w:contextualSpacing/>
    </w:pPr>
  </w:style>
  <w:style w:type="character" w:customStyle="1" w:styleId="LijstalineaChar">
    <w:name w:val="Lijstalinea Char"/>
    <w:basedOn w:val="Standaardalinea-lettertype"/>
    <w:link w:val="Lijstalinea"/>
    <w:uiPriority w:val="34"/>
    <w:locked/>
    <w:rsid w:val="0061551B"/>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357">
      <w:bodyDiv w:val="1"/>
      <w:marLeft w:val="0"/>
      <w:marRight w:val="0"/>
      <w:marTop w:val="0"/>
      <w:marBottom w:val="0"/>
      <w:divBdr>
        <w:top w:val="none" w:sz="0" w:space="0" w:color="auto"/>
        <w:left w:val="none" w:sz="0" w:space="0" w:color="auto"/>
        <w:bottom w:val="none" w:sz="0" w:space="0" w:color="auto"/>
        <w:right w:val="none" w:sz="0" w:space="0" w:color="auto"/>
      </w:divBdr>
    </w:div>
    <w:div w:id="410738258">
      <w:bodyDiv w:val="1"/>
      <w:marLeft w:val="0"/>
      <w:marRight w:val="0"/>
      <w:marTop w:val="0"/>
      <w:marBottom w:val="0"/>
      <w:divBdr>
        <w:top w:val="none" w:sz="0" w:space="0" w:color="auto"/>
        <w:left w:val="none" w:sz="0" w:space="0" w:color="auto"/>
        <w:bottom w:val="none" w:sz="0" w:space="0" w:color="auto"/>
        <w:right w:val="none" w:sz="0" w:space="0" w:color="auto"/>
      </w:divBdr>
    </w:div>
    <w:div w:id="826095302">
      <w:bodyDiv w:val="1"/>
      <w:marLeft w:val="0"/>
      <w:marRight w:val="0"/>
      <w:marTop w:val="0"/>
      <w:marBottom w:val="0"/>
      <w:divBdr>
        <w:top w:val="none" w:sz="0" w:space="0" w:color="auto"/>
        <w:left w:val="none" w:sz="0" w:space="0" w:color="auto"/>
        <w:bottom w:val="none" w:sz="0" w:space="0" w:color="auto"/>
        <w:right w:val="none" w:sz="0" w:space="0" w:color="auto"/>
      </w:divBdr>
    </w:div>
    <w:div w:id="137068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593</Words>
  <Characters>3914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Beter Wonen</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Hanneke De Rijter</dc:creator>
  <cp:lastModifiedBy>Annelies Grooten | Beter Wonen</cp:lastModifiedBy>
  <cp:revision>4</cp:revision>
  <cp:lastPrinted>2018-09-12T07:46:00Z</cp:lastPrinted>
  <dcterms:created xsi:type="dcterms:W3CDTF">2025-04-01T07:42:00Z</dcterms:created>
  <dcterms:modified xsi:type="dcterms:W3CDTF">2025-12-04T09:02:00Z</dcterms:modified>
</cp:coreProperties>
</file>